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35" w:rsidRPr="006450EF" w:rsidRDefault="00467535" w:rsidP="00467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  <w:bookmarkStart w:id="0" w:name="_GoBack"/>
      <w:bookmarkEnd w:id="0"/>
      <w:r w:rsidRPr="002D42AA">
        <w:rPr>
          <w:rFonts w:ascii="Arial" w:eastAsia="Times New Roman" w:hAnsi="Arial" w:cs="Arial"/>
          <w:b/>
          <w:sz w:val="32"/>
          <w:szCs w:val="32"/>
          <w:lang w:val="pl-PL" w:eastAsia="en-GB"/>
        </w:rPr>
        <w:t>Powszechna edukacja architektoniczna i urbanistyczna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Plan działań zmierzających w kierunku trwałego prowadzenia edukacji architektonicznej i urbanistycznej w ramach systemu edukacji powszechnej w Polsce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2D42AA">
        <w:rPr>
          <w:rFonts w:ascii="Arial" w:eastAsia="Times New Roman" w:hAnsi="Arial" w:cs="Arial"/>
          <w:sz w:val="18"/>
          <w:szCs w:val="18"/>
          <w:lang w:val="pl-PL" w:eastAsia="en-GB"/>
        </w:rPr>
        <w:t>(</w:t>
      </w:r>
      <w:r>
        <w:rPr>
          <w:rFonts w:ascii="Arial" w:eastAsia="Times New Roman" w:hAnsi="Arial" w:cs="Arial"/>
          <w:sz w:val="18"/>
          <w:szCs w:val="18"/>
          <w:lang w:val="pl-PL" w:eastAsia="en-GB"/>
        </w:rPr>
        <w:t xml:space="preserve">szkic </w:t>
      </w:r>
      <w:proofErr w:type="spellStart"/>
      <w:r w:rsidRPr="002D42AA">
        <w:rPr>
          <w:rFonts w:ascii="Arial" w:eastAsia="Times New Roman" w:hAnsi="Arial" w:cs="Arial"/>
          <w:sz w:val="18"/>
          <w:szCs w:val="18"/>
          <w:lang w:val="pl-PL" w:eastAsia="en-GB"/>
        </w:rPr>
        <w:t>dś</w:t>
      </w:r>
      <w:proofErr w:type="spellEnd"/>
      <w:r w:rsidRPr="002D42AA">
        <w:rPr>
          <w:rFonts w:ascii="Arial" w:eastAsia="Times New Roman" w:hAnsi="Arial" w:cs="Arial"/>
          <w:sz w:val="18"/>
          <w:szCs w:val="18"/>
          <w:lang w:val="pl-PL" w:eastAsia="en-GB"/>
        </w:rPr>
        <w:t xml:space="preserve">, </w:t>
      </w:r>
      <w:proofErr w:type="spellStart"/>
      <w:r w:rsidRPr="002D42AA">
        <w:rPr>
          <w:rFonts w:ascii="Arial" w:eastAsia="Times New Roman" w:hAnsi="Arial" w:cs="Arial"/>
          <w:sz w:val="18"/>
          <w:szCs w:val="18"/>
          <w:lang w:val="pl-PL" w:eastAsia="en-GB"/>
        </w:rPr>
        <w:t>pj</w:t>
      </w:r>
      <w:proofErr w:type="spellEnd"/>
      <w:r w:rsidRPr="002D42AA">
        <w:rPr>
          <w:rFonts w:ascii="Arial" w:eastAsia="Times New Roman" w:hAnsi="Arial" w:cs="Arial"/>
          <w:sz w:val="18"/>
          <w:szCs w:val="18"/>
          <w:lang w:val="pl-PL" w:eastAsia="en-GB"/>
        </w:rPr>
        <w:t xml:space="preserve"> 11.03.2019 r.)</w:t>
      </w:r>
      <w:r>
        <w:rPr>
          <w:rFonts w:ascii="Arial" w:eastAsia="Times New Roman" w:hAnsi="Arial" w:cs="Arial"/>
          <w:sz w:val="18"/>
          <w:szCs w:val="18"/>
          <w:lang w:val="pl-PL" w:eastAsia="en-GB"/>
        </w:rPr>
        <w:br/>
      </w:r>
    </w:p>
    <w:p w:rsidR="00467535" w:rsidRPr="002D42AA" w:rsidRDefault="00467535" w:rsidP="0046753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l-PL" w:eastAsia="en-GB"/>
        </w:rPr>
      </w:pP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 xml:space="preserve">Określenie celów merytorycznych </w:t>
      </w:r>
      <w:r w:rsidRPr="002D42AA">
        <w:rPr>
          <w:rFonts w:ascii="Arial" w:eastAsia="Times New Roman" w:hAnsi="Arial" w:cs="Arial"/>
          <w:sz w:val="24"/>
          <w:szCs w:val="24"/>
          <w:lang w:val="pl-PL" w:eastAsia="en-GB"/>
        </w:rPr>
        <w:t>(wg PPA, Standardów Edukacji Kulturalnej, założeń UIA, … ):</w:t>
      </w:r>
    </w:p>
    <w:p w:rsidR="00467535" w:rsidRDefault="00467535" w:rsidP="00467535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-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Cele ogólne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(misja programu) …</w:t>
      </w:r>
    </w:p>
    <w:p w:rsidR="00467535" w:rsidRDefault="00467535" w:rsidP="00467535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-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Cele szczegółowe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(wizja programu) …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  <w:t xml:space="preserve">-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Działania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…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  <w:t xml:space="preserve">-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Spodziewane efekty (w skali czasowej: możliwe na dziś, pożądane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w przyszłości)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…</w:t>
      </w:r>
    </w:p>
    <w:p w:rsidR="00467535" w:rsidRPr="006450EF" w:rsidRDefault="00467535" w:rsidP="00467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</w:p>
    <w:p w:rsidR="00467535" w:rsidRPr="006450EF" w:rsidRDefault="00467535" w:rsidP="0046753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Działania dotyczące analizy stanu obecnego w Polsce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: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2.1 Analiza podstawy programowej kształcenia ogólnego (istnieje analiza przeprowadzona przez IARP).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 xml:space="preserve">2.2 Analiza podręczników szkolnych pod kątem treści związanych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z architekturą i urbanistyką (wstępny przegląd przeprowadzony w NCK).</w:t>
      </w:r>
    </w:p>
    <w:p w:rsidR="00467535" w:rsidRPr="006450EF" w:rsidRDefault="00467535" w:rsidP="004675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sz w:val="24"/>
          <w:szCs w:val="24"/>
          <w:lang w:val="pl-PL" w:eastAsia="en-GB"/>
        </w:rPr>
        <w:t>2.3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Badania „W dialogu z otoczeniem…” (Raport z badań ilościowych wydany przez NCK).</w:t>
      </w:r>
    </w:p>
    <w:p w:rsidR="00467535" w:rsidRPr="006450EF" w:rsidRDefault="00467535" w:rsidP="004675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sz w:val="24"/>
          <w:szCs w:val="24"/>
          <w:lang w:val="pl-PL" w:eastAsia="en-GB"/>
        </w:rPr>
        <w:t>2.4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Badania w szkołach, dotyczące uczniów, nauczycieli, rodziców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  <w:t>(do wykonania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).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</w:p>
    <w:p w:rsidR="00467535" w:rsidRPr="006450EF" w:rsidRDefault="00467535" w:rsidP="00467535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Działania dotyczące analizy kontekstu międzynarodowego: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 xml:space="preserve">3.1 Zebranie informacji nt. edukacji systemowej w wiodących krajach (przede wszystkim europejskich – np. Francja, kraje skandynawskie). </w:t>
      </w:r>
      <w:r w:rsidRPr="006450EF">
        <w:rPr>
          <w:rFonts w:ascii="Arial" w:eastAsia="Times New Roman" w:hAnsi="Arial" w:cs="Arial"/>
          <w:i/>
          <w:sz w:val="24"/>
          <w:szCs w:val="24"/>
          <w:lang w:val="pl-PL" w:eastAsia="en-GB"/>
        </w:rPr>
        <w:t>(na wzór badania przeprowadzonego dla Ministerstwa Kultury i Komunikacji we Francji)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.</w:t>
      </w:r>
    </w:p>
    <w:p w:rsidR="00467535" w:rsidRDefault="00467535" w:rsidP="00467535">
      <w:pPr>
        <w:pStyle w:val="Akapitzlist"/>
        <w:spacing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3.2 Gromadzenie dobrych praktyk edukacyjnych i modeli kształcenia w innych krajach (z wykorzystaniem sieci Architecture &amp; </w:t>
      </w:r>
      <w:proofErr w:type="spellStart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Children</w:t>
      </w:r>
      <w:proofErr w:type="spellEnd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, PLAYCE).</w:t>
      </w:r>
    </w:p>
    <w:p w:rsidR="00467535" w:rsidRPr="006450EF" w:rsidRDefault="00467535" w:rsidP="00467535">
      <w:pPr>
        <w:spacing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4. Działania w ramach systemu edukacji powszechnej: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4.1 Określenie minimalne</w:t>
      </w:r>
      <w:r w:rsidR="00AD47AF">
        <w:rPr>
          <w:rFonts w:ascii="Arial" w:eastAsia="Times New Roman" w:hAnsi="Arial" w:cs="Arial"/>
          <w:sz w:val="24"/>
          <w:szCs w:val="24"/>
          <w:lang w:val="pl-PL" w:eastAsia="en-GB"/>
        </w:rPr>
        <w:t>go poziomu kompetencji związanych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z edukacją architektoniczną i urbanistyczną (postulowanie zmian/uzupełnień w podstawie programowej kształcenia ogólnego).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4.2 Wprowadzenie ścieżek między-przedmiotowych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(na poziomie od klas 6-8)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.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4.3 Edukacja przedszkolna, wczesnoszkolna - klasy 1-3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oraz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klasy 4-6 (program </w:t>
      </w:r>
      <w:proofErr w:type="spellStart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Archi</w:t>
      </w:r>
      <w:proofErr w:type="spellEnd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-przygody), szkolna - klasy 6-8 (program </w:t>
      </w:r>
      <w:proofErr w:type="spellStart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Archi</w:t>
      </w:r>
      <w:proofErr w:type="spellEnd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-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przygody; 5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lekcji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minimum programowego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;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program Kształtowanie Przestrzeni), szkoły średnie (program Kształtowanie Przestrzeni).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4.4 Utworzenie zbioru dobrych praktyk dotyczących obiektów instytucji edukacyjnych (przedszkola, szkoły, młodzieżowe domy kultury, …).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4.5 Wprowadzenie kanonu lektur i innych pomocy do bibliotek publicznych.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  <w:t>4.6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Zajęcia oraz praktyki związane z poznawaniem ciekawych i modelowych rozwiązań przestrzennych oraz zawodów projektowych (m.in. wspomagające wybór zawodu) – m.in. zwiedzanie pracowni projektowych, uczelni, wizyty studyjne,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w wybranych obiektów, przestrzeni (historycznych i współczesnych).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5. Działania w ramach systemu szkolnictwa wyższego: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 xml:space="preserve">5.1 Wprowadzenie na uczelnie (wydziały projektowe: architektura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 xml:space="preserve">i urbanistyka, architektura krajobrazu, architektura wnętrz, wzornictwo oraz historia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lastRenderedPageBreak/>
        <w:t xml:space="preserve">sztuki) zajęć i praktyk w zakresie mediacji i prowadzonej przez projektantów edukacji architektonicznej; warsztaty pedagogiczne dla studentów i absolwentów prowadzących projekty edukacyjne; włączenie do standardów kształcenia w szkolnictwie wyższym zajęć z pedagogiki (w porozumieniu z Ministerstwem Nauki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i Szkolnictwa Wyższego)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; np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.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rozszerzenie programów studiów pedagogicznych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  <w:t>z zakresu plastyki.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  <w:t xml:space="preserve">5.2 </w:t>
      </w:r>
      <w:r w:rsidRPr="002D42AA">
        <w:rPr>
          <w:rFonts w:ascii="Arial" w:eastAsia="Times New Roman" w:hAnsi="Arial" w:cs="Arial"/>
          <w:sz w:val="24"/>
          <w:szCs w:val="24"/>
          <w:lang w:val="pl-PL" w:eastAsia="en-GB"/>
        </w:rPr>
        <w:t>Ułatwienia w uzyskiwaniu tytułów zawodowych osobom prowadzącym działania edukacyjne (architektem nie musi być wyłącznie osoba projektująca w celach realizacyjnych)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.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6. Działania poza systemem edukacji formalnej: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 xml:space="preserve">6.1 Szkolenia dla nauczycieli szkół, przedszkoli, młodzieżowych domów kultury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oraz animatorów kultury; warsztaty doszkalające z zakresu architektury i urbanistyki, historii archite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ktury dla nauczycieli (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w porozumieniu z ośrodkami doskonalenia n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auczycieli, kuratorium oświaty).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6.2 Edukacja pozaszkolna.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6.3 Edukacja samorządowców, urzędników, polityków.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6.4 Edukacja pedagogiczna studentów wydziałów projektowych i historii sztuki.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7. Zbudowanie modelu współpracy międzyresortowej: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proofErr w:type="spellStart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MKiDN</w:t>
      </w:r>
      <w:proofErr w:type="spellEnd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MEN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proofErr w:type="spellStart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MNiSW</w:t>
      </w:r>
      <w:proofErr w:type="spellEnd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proofErr w:type="spellStart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MIiR</w:t>
      </w:r>
      <w:proofErr w:type="spellEnd"/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…</w:t>
      </w:r>
    </w:p>
    <w:p w:rsidR="00467535" w:rsidRPr="006450EF" w:rsidRDefault="00467535" w:rsidP="00467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8. Współpraca: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SARP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;</w:t>
      </w:r>
    </w:p>
    <w:p w:rsidR="00467535" w:rsidRPr="006450EF" w:rsidRDefault="00467535" w:rsidP="00467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IARP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;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  <w:t>TUP;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Ośrodki Doskonalenia Nauczycieli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;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Organizacje pozarządowe: Fundacja Rozwoju Wsi, Stowarzyszenia Akademickie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;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Studentów Architektury, Akademia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Łucznica;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  <w:t>Administracja samorządowa (np. Biuro Edukacji m.st. Warszawy)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;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  <w:t>…</w:t>
      </w:r>
    </w:p>
    <w:p w:rsidR="00467535" w:rsidRPr="006450EF" w:rsidRDefault="00467535" w:rsidP="004675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en-GB"/>
        </w:rPr>
      </w:pP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9. Metody działań: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  <w:t>M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iędzy-przedmiotowa; metoda projektowa, warsztatowa (także dla grup mieszanych wiekowo i między-pokoleniowych), zajęcia prowadzone interdyscyplinarnie; wizyty studyjne, spacery badawcze, …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10. „Nastawienie” działań: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  <w:t>Innowacyjność, empatia, etyka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współpraca,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>post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rzeganie wielozmysłowe, edukacja </w:t>
      </w:r>
      <w:r w:rsidR="00AD47AF">
        <w:rPr>
          <w:rFonts w:ascii="Arial" w:eastAsia="Times New Roman" w:hAnsi="Arial" w:cs="Arial"/>
          <w:sz w:val="24"/>
          <w:szCs w:val="24"/>
          <w:lang w:val="pl-PL" w:eastAsia="en-GB"/>
        </w:rPr>
        <w:t>obywatelska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(m.in. partycypacja) i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 xml:space="preserve"> promocja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zrównoważonego rozwoju (w wymiarach społecznym, środowiskowym, gospodarczym, kulturowym)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.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t xml:space="preserve"> 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11. Tworzenie sieci</w:t>
      </w:r>
      <w:r w:rsidRPr="006450EF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t>…</w:t>
      </w:r>
      <w:r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>
        <w:rPr>
          <w:rFonts w:ascii="Arial" w:eastAsia="Times New Roman" w:hAnsi="Arial" w:cs="Arial"/>
          <w:b/>
          <w:sz w:val="24"/>
          <w:szCs w:val="24"/>
          <w:lang w:val="pl-PL" w:eastAsia="en-GB"/>
        </w:rPr>
        <w:br/>
      </w:r>
      <w:r w:rsidRPr="002D42AA">
        <w:rPr>
          <w:rFonts w:ascii="Arial" w:eastAsia="Times New Roman" w:hAnsi="Arial" w:cs="Arial"/>
          <w:b/>
          <w:sz w:val="24"/>
          <w:szCs w:val="24"/>
          <w:lang w:val="pl-PL" w:eastAsia="en-GB"/>
        </w:rPr>
        <w:t>12. Rola mediów</w:t>
      </w:r>
    </w:p>
    <w:p w:rsidR="0093727C" w:rsidRPr="00467535" w:rsidRDefault="00467535" w:rsidP="00467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…</w:t>
      </w:r>
    </w:p>
    <w:sectPr w:rsidR="0093727C" w:rsidRPr="0046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69A6"/>
    <w:multiLevelType w:val="hybridMultilevel"/>
    <w:tmpl w:val="8EC6D86C"/>
    <w:lvl w:ilvl="0" w:tplc="25FE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35"/>
    <w:rsid w:val="00467535"/>
    <w:rsid w:val="005D355C"/>
    <w:rsid w:val="00705C00"/>
    <w:rsid w:val="0093727C"/>
    <w:rsid w:val="00A07B91"/>
    <w:rsid w:val="00AD47AF"/>
    <w:rsid w:val="00D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2</cp:revision>
  <dcterms:created xsi:type="dcterms:W3CDTF">2019-05-21T19:15:00Z</dcterms:created>
  <dcterms:modified xsi:type="dcterms:W3CDTF">2019-05-21T19:15:00Z</dcterms:modified>
</cp:coreProperties>
</file>